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BAAACE9" w14:textId="77777777" w:rsidTr="00B451F5">
        <w:tc>
          <w:tcPr>
            <w:tcW w:w="4678" w:type="dxa"/>
          </w:tcPr>
          <w:p w14:paraId="3AD2DCD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6DFB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456DCA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5AF8F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40EB5FD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368679A" w14:textId="294AC42D" w:rsidR="00E2185C" w:rsidRPr="00D3104C" w:rsidRDefault="00DD7E9F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D3104C">
              <w:rPr>
                <w:rFonts w:ascii="Arial" w:hAnsi="Arial" w:cs="Arial"/>
                <w:sz w:val="20"/>
                <w:szCs w:val="24"/>
              </w:rPr>
              <w:br/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8275C">
              <w:rPr>
                <w:rFonts w:ascii="Arial" w:hAnsi="Arial" w:cs="Arial"/>
                <w:sz w:val="20"/>
                <w:szCs w:val="20"/>
              </w:rPr>
              <w:t>-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827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88275C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D3104C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D3104C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75B5DBB" w14:textId="77777777" w:rsidR="00E2185C" w:rsidRPr="00E2185C" w:rsidRDefault="00DD7E9F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4727A028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637F479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45F11D3" w14:textId="77777777" w:rsidTr="00B451F5">
        <w:tc>
          <w:tcPr>
            <w:tcW w:w="4678" w:type="dxa"/>
          </w:tcPr>
          <w:p w14:paraId="1DB83027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E1C02EA" w14:textId="3F46F893" w:rsidR="00E2185C" w:rsidRPr="006D7FD6" w:rsidRDefault="00A21A09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3A88E1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B71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597DBE32" w14:textId="6D9E21CD" w:rsidR="00B5038B" w:rsidRPr="006D7FD6" w:rsidRDefault="00A21A09" w:rsidP="00127FF6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 xml:space="preserve">Прогноз инвестиционной активности </w:t>
      </w:r>
      <w:r>
        <w:rPr>
          <w:rFonts w:ascii="Arial" w:eastAsia="Calibri" w:hAnsi="Arial" w:cs="Arial"/>
          <w:b/>
          <w:bCs/>
          <w:sz w:val="28"/>
          <w:szCs w:val="32"/>
        </w:rPr>
        <w:br/>
        <w:t>промышленных предприятий оптимистичен</w:t>
      </w:r>
    </w:p>
    <w:p w14:paraId="47F672AF" w14:textId="47DA9784" w:rsidR="00B1645A" w:rsidRPr="006D7FD6" w:rsidRDefault="00B1645A" w:rsidP="00127FF6">
      <w:pPr>
        <w:tabs>
          <w:tab w:val="left" w:pos="2513"/>
        </w:tabs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</w:p>
    <w:p w14:paraId="62529AAD" w14:textId="2D512FDC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>В 2023 году инвестиционная активность промышленных предприятий республики составила 78%, что на 12 процентных пунктов ниже уровня 2022 года.</w:t>
      </w:r>
    </w:p>
    <w:p w14:paraId="1604CA99" w14:textId="0878E1FC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Первоочередной целью инвестирования является замена изношенной техники и оборудования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такой ответ дали 60% опрошенных руководителей предприятий. Особое внимание уделяется автоматизации (механизации) существующих производственных процессов, снижению себестоимости продукции, увеличению производственных мощностей с расширением номенклатуры продукции.</w:t>
      </w:r>
    </w:p>
    <w:p w14:paraId="50DD0AB3" w14:textId="24F9783F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В инвестиционной деятельности организации по-прежнему ориентированы на собственные средства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это отметили 73% респондентов. И только 28% организаций используют кредитные и заемные средства.</w:t>
      </w:r>
    </w:p>
    <w:p w14:paraId="4AF05AEE" w14:textId="74B1D8BA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У половины хозяйствующих субъектов имеются сравнительно новые основные средства. Средний возраст эксплуатируемых машин и оборудования составляет 10 лет, транспортных средств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7,5 года, и только в 7% случаев машины и оборудование используются свыше 20 лет.</w:t>
      </w:r>
    </w:p>
    <w:p w14:paraId="01DD3781" w14:textId="507FA8EA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Для успешного функционирования организаций решающее значение отводится обновлению активной части основных фондов. Так, три четверти организаций использовали инвестиции на приобретение новых машин, оборудования, транспортных средств, из которых практически половина – импортные. Нередко в этом помогает и финансовый лизинг (29%). Тем не менее, выбывающие машины и оборудование не всегда заменяются новыми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каждая пятая из обследованных организаций закупала уже бывшие в употреблении основные средства.</w:t>
      </w:r>
    </w:p>
    <w:p w14:paraId="1EA6F794" w14:textId="1186CE80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Финансовый дефицит является основным сдерживающим фактором инвестиционной активности </w:t>
      </w:r>
      <w:r w:rsidRPr="00A21A09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считает большинство опрошенных руководителей. Значительное влияние на инвестиционную деятельность оказывает инфляционная политика и параметры курсовой политики в стране, на это указали 72% и 69% респондентов соответственно. Экономическая ситуация внутренняя (в стране) и внешняя (на мировых рынках) ограничивает инвестиционную активность, как показали 68% опрошенных респондентов.</w:t>
      </w:r>
    </w:p>
    <w:p w14:paraId="0674A696" w14:textId="2AA2346F" w:rsidR="00A21A09" w:rsidRPr="00A21A09" w:rsidRDefault="00A21A09" w:rsidP="004C0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>Ситуацию в целом удовлетворительной признают две трети руководителей, практически каждый шестой назвал ее неблагоприятной и лишь 15% респондентов оценили ситуацию как благоприятную. Среди предполагающих перемены в текущем году в сравнении с предыдущим отмечается явный перевес положительных оценок (на 20 процентных пунктов).</w:t>
      </w:r>
    </w:p>
    <w:p w14:paraId="142070AF" w14:textId="5B4BF8CA" w:rsidR="00E55132" w:rsidRPr="00A21A09" w:rsidRDefault="00A21A09" w:rsidP="004C046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1A09">
        <w:rPr>
          <w:rFonts w:ascii="Arial" w:hAnsi="Arial" w:cs="Arial"/>
          <w:sz w:val="24"/>
          <w:szCs w:val="24"/>
        </w:rPr>
        <w:t xml:space="preserve">Ожидаемые изменения в следующем 2024 году у большинства руководителей промышленных предприятий оптимистичны. Более половины (60%) руководителей ожидают улучшения экономической ситуации, каждый третий изменений не ждет, а 7%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A21A09">
        <w:rPr>
          <w:rFonts w:ascii="Arial" w:hAnsi="Arial" w:cs="Arial"/>
          <w:sz w:val="24"/>
          <w:szCs w:val="24"/>
        </w:rPr>
        <w:t xml:space="preserve"> предполагают её ухудшение. Перевес оценок со знаком «плюс» составил 53 процентных пункта.</w:t>
      </w:r>
    </w:p>
    <w:sectPr w:rsidR="00E55132" w:rsidRPr="00A21A09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F8E2" w14:textId="77777777" w:rsidR="003A33B8" w:rsidRDefault="003A33B8" w:rsidP="00A02726">
      <w:pPr>
        <w:spacing w:after="0" w:line="240" w:lineRule="auto"/>
      </w:pPr>
      <w:r>
        <w:separator/>
      </w:r>
    </w:p>
  </w:endnote>
  <w:endnote w:type="continuationSeparator" w:id="0">
    <w:p w14:paraId="2D7AB58D" w14:textId="77777777" w:rsidR="003A33B8" w:rsidRDefault="003A33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DEDE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904A" w14:textId="77777777" w:rsidR="00A02726" w:rsidRDefault="00A02726">
    <w:pPr>
      <w:pStyle w:val="a5"/>
    </w:pPr>
  </w:p>
  <w:p w14:paraId="20FC21EE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3A2E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247C6" w14:textId="77777777" w:rsidR="003A33B8" w:rsidRDefault="003A33B8" w:rsidP="00A02726">
      <w:pPr>
        <w:spacing w:after="0" w:line="240" w:lineRule="auto"/>
      </w:pPr>
      <w:r>
        <w:separator/>
      </w:r>
    </w:p>
  </w:footnote>
  <w:footnote w:type="continuationSeparator" w:id="0">
    <w:p w14:paraId="10E2BD57" w14:textId="77777777" w:rsidR="003A33B8" w:rsidRDefault="003A33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6160" w14:textId="77777777" w:rsidR="00962C5A" w:rsidRDefault="00DD7E9F">
    <w:pPr>
      <w:pStyle w:val="a3"/>
    </w:pPr>
    <w:r>
      <w:rPr>
        <w:noProof/>
        <w:lang w:eastAsia="ru-RU"/>
      </w:rPr>
      <w:pict w14:anchorId="4984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DF3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42" w14:textId="77777777" w:rsidR="00962C5A" w:rsidRDefault="00DD7E9F">
    <w:pPr>
      <w:pStyle w:val="a3"/>
    </w:pPr>
    <w:r>
      <w:rPr>
        <w:noProof/>
        <w:lang w:eastAsia="ru-RU"/>
      </w:rPr>
      <w:pict w14:anchorId="6BE98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FF6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3B8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8AB"/>
    <w:rsid w:val="00405005"/>
    <w:rsid w:val="00406774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465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83A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395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104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5776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75C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27AD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4C0"/>
    <w:rsid w:val="009B7AFE"/>
    <w:rsid w:val="009C0114"/>
    <w:rsid w:val="009C25C4"/>
    <w:rsid w:val="009C2C8A"/>
    <w:rsid w:val="009C73BE"/>
    <w:rsid w:val="009C7C2F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A09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F7F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1F5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07B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0CE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04C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E9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84F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689E-A494-4614-842A-81E9FCAE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2023-12-27T09:50:00Z</dcterms:created>
  <dcterms:modified xsi:type="dcterms:W3CDTF">2023-12-27T09:50:00Z</dcterms:modified>
</cp:coreProperties>
</file>